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63A835">
      <w:pPr>
        <w:shd w:val="clear" w:color="auto" w:fill="FFFFFF"/>
        <w:spacing w:after="0" w:line="0" w:lineRule="atLeast"/>
        <w:jc w:val="center"/>
        <w:outlineLvl w:val="2"/>
        <w:rPr>
          <w:rFonts w:ascii="Times New Roman" w:hAnsi="Times New Roman" w:eastAsia="Times New Roman" w:cs="Times New Roman"/>
          <w:b/>
          <w:bCs/>
          <w:color w:val="333333"/>
          <w:sz w:val="26"/>
          <w:szCs w:val="26"/>
          <w:lang w:eastAsia="ru-RU"/>
        </w:rPr>
      </w:pPr>
      <w:r>
        <w:rPr>
          <w:rFonts w:ascii="Times New Roman" w:hAnsi="Times New Roman" w:eastAsia="Times New Roman" w:cs="Times New Roman"/>
          <w:b/>
          <w:bCs/>
          <w:color w:val="333333"/>
          <w:sz w:val="26"/>
          <w:szCs w:val="26"/>
          <w:lang w:eastAsia="ru-RU"/>
        </w:rPr>
        <w:drawing>
          <wp:inline distT="0" distB="0" distL="114300" distR="114300">
            <wp:extent cx="5831840" cy="9253220"/>
            <wp:effectExtent l="0" t="0" r="16510" b="5080"/>
            <wp:docPr id="1" name="Picture 1" descr="1780257487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780257487546"/>
                    <pic:cNvPicPr>
                      <a:picLocks noChangeAspect="1"/>
                    </pic:cNvPicPr>
                  </pic:nvPicPr>
                  <pic:blipFill>
                    <a:blip r:embed="rId6"/>
                    <a:stretch>
                      <a:fillRect/>
                    </a:stretch>
                  </pic:blipFill>
                  <pic:spPr>
                    <a:xfrm>
                      <a:off x="0" y="0"/>
                      <a:ext cx="5831840" cy="9253220"/>
                    </a:xfrm>
                    <a:prstGeom prst="rect">
                      <a:avLst/>
                    </a:prstGeom>
                  </pic:spPr>
                </pic:pic>
              </a:graphicData>
            </a:graphic>
          </wp:inline>
        </w:drawing>
      </w:r>
      <w:bookmarkStart w:id="0" w:name="_GoBack"/>
      <w:bookmarkEnd w:id="0"/>
    </w:p>
    <w:p w14:paraId="66AE0CE4">
      <w:pPr>
        <w:shd w:val="clear" w:color="auto" w:fill="FFFFFF"/>
        <w:spacing w:after="0" w:line="0" w:lineRule="atLeast"/>
        <w:jc w:val="center"/>
        <w:outlineLvl w:val="2"/>
        <w:rPr>
          <w:rFonts w:ascii="Times New Roman" w:hAnsi="Times New Roman" w:eastAsia="Times New Roman" w:cs="Times New Roman"/>
          <w:b/>
          <w:bCs/>
          <w:color w:val="333333"/>
          <w:sz w:val="26"/>
          <w:szCs w:val="26"/>
          <w:lang w:eastAsia="ru-RU"/>
        </w:rPr>
      </w:pPr>
    </w:p>
    <w:p w14:paraId="64BD1955">
      <w:pPr>
        <w:shd w:val="clear" w:color="auto" w:fill="FFFFFF"/>
        <w:spacing w:after="255" w:line="270" w:lineRule="atLeast"/>
        <w:outlineLvl w:val="2"/>
        <w:rPr>
          <w:rFonts w:ascii="Times New Roman" w:hAnsi="Times New Roman" w:eastAsia="Times New Roman" w:cs="Times New Roman"/>
          <w:b/>
          <w:bCs/>
          <w:color w:val="333333"/>
          <w:sz w:val="26"/>
          <w:szCs w:val="26"/>
          <w:lang w:eastAsia="ru-RU"/>
        </w:rPr>
      </w:pPr>
      <w:r>
        <w:rPr>
          <w:rFonts w:ascii="Times New Roman" w:hAnsi="Times New Roman" w:eastAsia="Times New Roman" w:cs="Times New Roman"/>
          <w:b/>
          <w:bCs/>
          <w:color w:val="333333"/>
          <w:sz w:val="26"/>
          <w:szCs w:val="26"/>
          <w:lang w:eastAsia="ru-RU"/>
        </w:rPr>
        <w:t>Программа воспитательной работы для организаций отдыха детей и их оздоровления</w:t>
      </w:r>
    </w:p>
    <w:p w14:paraId="251F138F">
      <w:pPr>
        <w:shd w:val="clear" w:color="auto" w:fill="FFFFFF"/>
        <w:spacing w:after="255" w:line="270" w:lineRule="atLeast"/>
        <w:outlineLvl w:val="2"/>
        <w:rPr>
          <w:rFonts w:ascii="Times New Roman" w:hAnsi="Times New Roman" w:eastAsia="Times New Roman" w:cs="Times New Roman"/>
          <w:b/>
          <w:bCs/>
          <w:color w:val="333333"/>
          <w:sz w:val="26"/>
          <w:szCs w:val="26"/>
          <w:lang w:eastAsia="ru-RU"/>
        </w:rPr>
      </w:pPr>
      <w:r>
        <w:rPr>
          <w:rFonts w:ascii="Times New Roman" w:hAnsi="Times New Roman" w:eastAsia="Times New Roman" w:cs="Times New Roman"/>
          <w:b/>
          <w:bCs/>
          <w:color w:val="333333"/>
          <w:sz w:val="26"/>
          <w:szCs w:val="26"/>
          <w:lang w:eastAsia="ru-RU"/>
        </w:rPr>
        <w:t>I. Общие положения</w:t>
      </w:r>
    </w:p>
    <w:p w14:paraId="15DEF106">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 Федеральная программа воспитательной работы для организаций отдыха детей и их оздоровления (далее -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14:paraId="61E83DA7">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2. Программа предназначена для организаций отдыха детей и их оздоровления (руководителей, заместителей руководителей и специалистов, осуществляющих планирование деятельности организации отдыха детей и их оздоровления и коллектива педагогов и вожатых) и является основой для разработки и реализации программ воспитательной работы в организациях, включенных в реестр организаций отдыха детей и их оздоровления</w:t>
      </w:r>
      <w:r>
        <w:fldChar w:fldCharType="begin"/>
      </w:r>
      <w:r>
        <w:instrText xml:space="preserve"> HYPERLINK "https://www.garant.ru/products/ipo/prime/doc/411676839/" \l "111" </w:instrText>
      </w:r>
      <w:r>
        <w:fldChar w:fldCharType="separate"/>
      </w:r>
      <w:r>
        <w:rPr>
          <w:rFonts w:ascii="Times New Roman" w:hAnsi="Times New Roman" w:eastAsia="Times New Roman" w:cs="Times New Roman"/>
          <w:color w:val="808080"/>
          <w:sz w:val="20"/>
          <w:szCs w:val="20"/>
          <w:u w:val="single"/>
          <w:vertAlign w:val="superscript"/>
          <w:lang w:eastAsia="ru-RU"/>
        </w:rPr>
        <w:t>1</w:t>
      </w:r>
      <w:r>
        <w:rPr>
          <w:rFonts w:ascii="Times New Roman" w:hAnsi="Times New Roman" w:eastAsia="Times New Roman" w:cs="Times New Roman"/>
          <w:color w:val="808080"/>
          <w:sz w:val="20"/>
          <w:szCs w:val="20"/>
          <w:u w:val="single"/>
          <w:vertAlign w:val="superscript"/>
          <w:lang w:eastAsia="ru-RU"/>
        </w:rPr>
        <w:fldChar w:fldCharType="end"/>
      </w:r>
      <w:r>
        <w:rPr>
          <w:rFonts w:ascii="Times New Roman" w:hAnsi="Times New Roman" w:eastAsia="Times New Roman" w:cs="Times New Roman"/>
          <w:color w:val="333333"/>
          <w:sz w:val="23"/>
          <w:szCs w:val="23"/>
          <w:lang w:eastAsia="ru-RU"/>
        </w:rPr>
        <w:t>.</w:t>
      </w:r>
    </w:p>
    <w:p w14:paraId="74537C2F">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3. 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fldChar w:fldCharType="begin"/>
      </w:r>
      <w:r>
        <w:instrText xml:space="preserve"> HYPERLINK "https://www.garant.ru/products/ipo/prime/doc/411676839/" \l "222" </w:instrText>
      </w:r>
      <w:r>
        <w:fldChar w:fldCharType="separate"/>
      </w:r>
      <w:r>
        <w:rPr>
          <w:rFonts w:ascii="Times New Roman" w:hAnsi="Times New Roman" w:eastAsia="Times New Roman" w:cs="Times New Roman"/>
          <w:color w:val="808080"/>
          <w:sz w:val="20"/>
          <w:szCs w:val="20"/>
          <w:u w:val="single"/>
          <w:vertAlign w:val="superscript"/>
          <w:lang w:eastAsia="ru-RU"/>
        </w:rPr>
        <w:t>2</w:t>
      </w:r>
      <w:r>
        <w:rPr>
          <w:rFonts w:ascii="Times New Roman" w:hAnsi="Times New Roman" w:eastAsia="Times New Roman" w:cs="Times New Roman"/>
          <w:color w:val="808080"/>
          <w:sz w:val="20"/>
          <w:szCs w:val="20"/>
          <w:u w:val="single"/>
          <w:vertAlign w:val="superscript"/>
          <w:lang w:eastAsia="ru-RU"/>
        </w:rPr>
        <w:fldChar w:fldCharType="end"/>
      </w:r>
      <w:r>
        <w:rPr>
          <w:rFonts w:ascii="Times New Roman" w:hAnsi="Times New Roman" w:eastAsia="Times New Roman" w:cs="Times New Roman"/>
          <w:color w:val="333333"/>
          <w:sz w:val="23"/>
          <w:szCs w:val="23"/>
          <w:lang w:eastAsia="ru-RU"/>
        </w:rPr>
        <w:t>.</w:t>
      </w:r>
    </w:p>
    <w:p w14:paraId="4096ACB6">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4. 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7302029F">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5. 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45323B84">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5177C662">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642894E4">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6. Принципы реализации Программы:</w:t>
      </w:r>
    </w:p>
    <w:p w14:paraId="7BE42029">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принцип единого целевого начала воспитательной деятельности;</w:t>
      </w:r>
    </w:p>
    <w:p w14:paraId="19444C55">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принцип системности, непрерывности и преемственности воспитательной деятельности;</w:t>
      </w:r>
    </w:p>
    <w:p w14:paraId="1A407CF2">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принцип единства концептуальных подходов, методов и форм воспитательной деятельности;</w:t>
      </w:r>
    </w:p>
    <w:p w14:paraId="4C866F28">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принцип учета возрастных и индивидуальных особенностей воспитанников и их групп;</w:t>
      </w:r>
    </w:p>
    <w:p w14:paraId="26A694C8">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принцип приоритета конструктивных интересов и потребностей детей;</w:t>
      </w:r>
    </w:p>
    <w:p w14:paraId="51EB0443">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принцип реальности и измеримости итогов воспитательной деятельности.</w:t>
      </w:r>
    </w:p>
    <w:p w14:paraId="5853CC2E">
      <w:pPr>
        <w:shd w:val="clear" w:color="auto" w:fill="FFFFFF"/>
        <w:spacing w:after="255" w:line="270" w:lineRule="atLeast"/>
        <w:outlineLvl w:val="2"/>
        <w:rPr>
          <w:rFonts w:ascii="Times New Roman" w:hAnsi="Times New Roman" w:eastAsia="Times New Roman" w:cs="Times New Roman"/>
          <w:b/>
          <w:bCs/>
          <w:color w:val="333333"/>
          <w:sz w:val="26"/>
          <w:szCs w:val="26"/>
          <w:lang w:eastAsia="ru-RU"/>
        </w:rPr>
      </w:pPr>
      <w:r>
        <w:rPr>
          <w:rFonts w:ascii="Times New Roman" w:hAnsi="Times New Roman" w:eastAsia="Times New Roman" w:cs="Times New Roman"/>
          <w:b/>
          <w:bCs/>
          <w:color w:val="333333"/>
          <w:sz w:val="26"/>
          <w:szCs w:val="26"/>
          <w:lang w:eastAsia="ru-RU"/>
        </w:rPr>
        <w:t>II. Целевой раздел Программы</w:t>
      </w:r>
    </w:p>
    <w:p w14:paraId="73EDC8C1">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7. 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0B49D462">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8. Задачами Программы являются:</w:t>
      </w:r>
    </w:p>
    <w:p w14:paraId="0994F2E3">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06AA1D06">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14:paraId="6EC95E8A">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14:paraId="6BE34004">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9. При реализации цели Программы следует учитывать возрастные группы детей:</w:t>
      </w:r>
    </w:p>
    <w:p w14:paraId="3B8BF65A">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7 - 10 лет - дети младшего школьного возраста;</w:t>
      </w:r>
    </w:p>
    <w:p w14:paraId="2F349C20">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11 - 14 лет - дети среднего школьного возраста;</w:t>
      </w:r>
    </w:p>
    <w:p w14:paraId="22315F24">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15 - 17 лет - дети старшего школьного возраста.</w:t>
      </w:r>
    </w:p>
    <w:p w14:paraId="5FE9CD7E">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10. 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01F7771F">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10.1.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2F5467AC">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10.2. 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6659C8BC">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10.3. 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69D90762">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11. Разделы Программы раскрывают особенности формирования содержания воспитательной работы, а блоки </w:t>
      </w:r>
      <w:r>
        <w:fldChar w:fldCharType="begin"/>
      </w:r>
      <w:r>
        <w:instrText xml:space="preserve"> HYPERLINK "https://www.garant.ru/products/ipo/prime/doc/411676839/" \l "1013" </w:instrText>
      </w:r>
      <w:r>
        <w:fldChar w:fldCharType="separate"/>
      </w:r>
      <w:r>
        <w:rPr>
          <w:rFonts w:ascii="Times New Roman" w:hAnsi="Times New Roman" w:eastAsia="Times New Roman" w:cs="Times New Roman"/>
          <w:color w:val="808080"/>
          <w:sz w:val="23"/>
          <w:szCs w:val="23"/>
          <w:u w:val="single"/>
          <w:lang w:eastAsia="ru-RU"/>
        </w:rPr>
        <w:t>"Мир"</w:t>
      </w:r>
      <w:r>
        <w:rPr>
          <w:rFonts w:ascii="Times New Roman" w:hAnsi="Times New Roman" w:eastAsia="Times New Roman" w:cs="Times New Roman"/>
          <w:color w:val="808080"/>
          <w:sz w:val="23"/>
          <w:szCs w:val="23"/>
          <w:u w:val="single"/>
          <w:lang w:eastAsia="ru-RU"/>
        </w:rPr>
        <w:fldChar w:fldCharType="end"/>
      </w:r>
      <w:r>
        <w:rPr>
          <w:rFonts w:ascii="Times New Roman" w:hAnsi="Times New Roman" w:eastAsia="Times New Roman" w:cs="Times New Roman"/>
          <w:color w:val="333333"/>
          <w:sz w:val="23"/>
          <w:szCs w:val="23"/>
          <w:lang w:eastAsia="ru-RU"/>
        </w:rPr>
        <w:t>, </w:t>
      </w:r>
      <w:r>
        <w:fldChar w:fldCharType="begin"/>
      </w:r>
      <w:r>
        <w:instrText xml:space="preserve"> HYPERLINK "https://www.garant.ru/products/ipo/prime/doc/411676839/" \l "1014" </w:instrText>
      </w:r>
      <w:r>
        <w:fldChar w:fldCharType="separate"/>
      </w:r>
      <w:r>
        <w:rPr>
          <w:rFonts w:ascii="Times New Roman" w:hAnsi="Times New Roman" w:eastAsia="Times New Roman" w:cs="Times New Roman"/>
          <w:color w:val="808080"/>
          <w:sz w:val="23"/>
          <w:szCs w:val="23"/>
          <w:u w:val="single"/>
          <w:lang w:eastAsia="ru-RU"/>
        </w:rPr>
        <w:t>"Россия"</w:t>
      </w:r>
      <w:r>
        <w:rPr>
          <w:rFonts w:ascii="Times New Roman" w:hAnsi="Times New Roman" w:eastAsia="Times New Roman" w:cs="Times New Roman"/>
          <w:color w:val="808080"/>
          <w:sz w:val="23"/>
          <w:szCs w:val="23"/>
          <w:u w:val="single"/>
          <w:lang w:eastAsia="ru-RU"/>
        </w:rPr>
        <w:fldChar w:fldCharType="end"/>
      </w:r>
      <w:r>
        <w:rPr>
          <w:rFonts w:ascii="Times New Roman" w:hAnsi="Times New Roman" w:eastAsia="Times New Roman" w:cs="Times New Roman"/>
          <w:color w:val="333333"/>
          <w:sz w:val="23"/>
          <w:szCs w:val="23"/>
          <w:lang w:eastAsia="ru-RU"/>
        </w:rPr>
        <w:t>, </w:t>
      </w:r>
      <w:r>
        <w:fldChar w:fldCharType="begin"/>
      </w:r>
      <w:r>
        <w:instrText xml:space="preserve"> HYPERLINK "https://www.garant.ru/products/ipo/prime/doc/411676839/" \l "1015" </w:instrText>
      </w:r>
      <w:r>
        <w:fldChar w:fldCharType="separate"/>
      </w:r>
      <w:r>
        <w:rPr>
          <w:rFonts w:ascii="Times New Roman" w:hAnsi="Times New Roman" w:eastAsia="Times New Roman" w:cs="Times New Roman"/>
          <w:color w:val="808080"/>
          <w:sz w:val="23"/>
          <w:szCs w:val="23"/>
          <w:u w:val="single"/>
          <w:lang w:eastAsia="ru-RU"/>
        </w:rPr>
        <w:t>"Человек"</w:t>
      </w:r>
      <w:r>
        <w:rPr>
          <w:rFonts w:ascii="Times New Roman" w:hAnsi="Times New Roman" w:eastAsia="Times New Roman" w:cs="Times New Roman"/>
          <w:color w:val="808080"/>
          <w:sz w:val="23"/>
          <w:szCs w:val="23"/>
          <w:u w:val="single"/>
          <w:lang w:eastAsia="ru-RU"/>
        </w:rPr>
        <w:fldChar w:fldCharType="end"/>
      </w:r>
      <w:r>
        <w:rPr>
          <w:rFonts w:ascii="Times New Roman" w:hAnsi="Times New Roman" w:eastAsia="Times New Roman" w:cs="Times New Roman"/>
          <w:color w:val="333333"/>
          <w:sz w:val="23"/>
          <w:szCs w:val="23"/>
          <w:lang w:eastAsia="ru-RU"/>
        </w:rPr>
        <w:t> определяют ключевые сквозные векторы содержания инвариантных и вариативных модулей.</w:t>
      </w:r>
    </w:p>
    <w:p w14:paraId="55598331">
      <w:pPr>
        <w:shd w:val="clear" w:color="auto" w:fill="FFFFFF"/>
        <w:spacing w:after="255" w:line="270" w:lineRule="atLeast"/>
        <w:outlineLvl w:val="2"/>
        <w:rPr>
          <w:rFonts w:ascii="Times New Roman" w:hAnsi="Times New Roman" w:eastAsia="Times New Roman" w:cs="Times New Roman"/>
          <w:b/>
          <w:bCs/>
          <w:color w:val="333333"/>
          <w:sz w:val="26"/>
          <w:szCs w:val="26"/>
          <w:lang w:eastAsia="ru-RU"/>
        </w:rPr>
      </w:pPr>
      <w:r>
        <w:rPr>
          <w:rFonts w:ascii="Times New Roman" w:hAnsi="Times New Roman" w:eastAsia="Times New Roman" w:cs="Times New Roman"/>
          <w:b/>
          <w:bCs/>
          <w:color w:val="333333"/>
          <w:sz w:val="26"/>
          <w:szCs w:val="26"/>
          <w:lang w:eastAsia="ru-RU"/>
        </w:rPr>
        <w:t>III. Содержательный раздел</w:t>
      </w:r>
    </w:p>
    <w:p w14:paraId="3FCAED8F">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12. 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14:paraId="1BF0D013">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Основные направления воспитательной работы включают в себя:</w:t>
      </w:r>
    </w:p>
    <w:p w14:paraId="4A1B112D">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29F3E4F2">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14:paraId="7ABE3D77">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14:paraId="10F582D6">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3515A7AA">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2EEF85B2">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физическое воспитание, формирование культуры здорового образа жизни и эмоционального благополучия: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14:paraId="015F1B0A">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08AAE771">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00469A66">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13. 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14:paraId="72529D24">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Содержание блока "Мир" реализуется в следующих формах:</w:t>
      </w:r>
    </w:p>
    <w:p w14:paraId="52833F1D">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w:t>
      </w:r>
    </w:p>
    <w:p w14:paraId="1ECCB965">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14:paraId="28A87C32">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14:paraId="2E005E8B">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14:paraId="4FED4655">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14:paraId="6F0F3423">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2DC82CD5">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14. В общем блоке реализации содержания "Россия" предлагаются пять комплексов мероприятий:</w:t>
      </w:r>
    </w:p>
    <w:p w14:paraId="399B93E5">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14.1. 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14:paraId="75AAD2D4">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Предполагаемые формы мероприятий:</w:t>
      </w:r>
    </w:p>
    <w:p w14:paraId="3DA5E68C">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14:paraId="70CC3C13">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тематические дни;</w:t>
      </w:r>
    </w:p>
    <w:p w14:paraId="29C402EB">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14:paraId="4BA94725">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14.2. 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14:paraId="34799243">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Предполагаемые форматы мероприятий:</w:t>
      </w:r>
    </w:p>
    <w:p w14:paraId="535855DB">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5936403B">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14:paraId="1DB4D01B">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2A7DB14E">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01FE9A52">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14.3. 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2E2DBFE7">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14:paraId="77C1DA9F">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С целью формирования у детей и подростков гражданского самосознания могут проводиться информационные часы и акции.</w:t>
      </w:r>
    </w:p>
    <w:p w14:paraId="2DB94264">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14.4. Четвертый комплекс мероприятий связан с русским языком - государственным языком Российской Федерации.</w:t>
      </w:r>
    </w:p>
    <w:p w14:paraId="658214BD">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Предполагаемые формы мероприятий:</w:t>
      </w:r>
    </w:p>
    <w:p w14:paraId="6CA49D74">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организация выставок книг, посвященных русскому языку, русской литературе и русской культуре;</w:t>
      </w:r>
    </w:p>
    <w:p w14:paraId="6D6540B9">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7AAFD71A">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14:paraId="22451FD6">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14.5. 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374DDC48">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Предполагаемые формы мероприятий:</w:t>
      </w:r>
    </w:p>
    <w:p w14:paraId="4CE53EA5">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экологические игры, актуализирующие имеющийся опыт и знания детей;</w:t>
      </w:r>
    </w:p>
    <w:p w14:paraId="6EE138E1">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14:paraId="2F64D00D">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беседы об особенностях родного края;</w:t>
      </w:r>
    </w:p>
    <w:p w14:paraId="0D6EA6BC">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7E2C835B">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свод экологических правил в отряде и в целом в организации отдыха детей и их оздоровления;</w:t>
      </w:r>
    </w:p>
    <w:p w14:paraId="60D75282">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14:paraId="11E66627">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конкурс рисунков, плакатов, инсценировок на экологическую тематику;</w:t>
      </w:r>
    </w:p>
    <w:p w14:paraId="08B4E8E0">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встречи и беседы с экспертами в области экологии, охраны окружающей среды, учеными, эко-волонтерами.</w:t>
      </w:r>
    </w:p>
    <w:p w14:paraId="31C18A37">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15. 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14:paraId="6512C9BB">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Реализация воспитательного потенциала данного блока предусматривает:</w:t>
      </w:r>
    </w:p>
    <w:p w14:paraId="65451C9D">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проведение физкультурно-оздоровительных, спортивных мероприятий: зарядка, спортивные игры и соревнования;</w:t>
      </w:r>
    </w:p>
    <w:p w14:paraId="754C676D">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беседы, направленные на профилактику вредных привычек и привлечение интереса детей к занятиям физкультурой и спортом;</w:t>
      </w:r>
    </w:p>
    <w:p w14:paraId="0DAA39DA">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14:paraId="4147781F">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14:paraId="4FEB6FCE">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14:paraId="51FD1D1F">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проведение тренировочной эвакуации при пожаре или обнаружении взрывчатых веществ;</w:t>
      </w:r>
    </w:p>
    <w:p w14:paraId="15EB4589">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w:t>
      </w:r>
    </w:p>
    <w:p w14:paraId="2DB7AB64">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00A5DB5A">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14:paraId="5857B51F">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14:paraId="254D483D">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2505440A">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2BD21F22">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16. Инвариантные общие содержательные модули включают:</w:t>
      </w:r>
    </w:p>
    <w:p w14:paraId="3DAF9AE3">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16.1. Модуль "Спортивно-оздоровительная работа".</w:t>
      </w:r>
    </w:p>
    <w:p w14:paraId="0328106D">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14:paraId="37409352">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Физическое воспитание реализуется посредством:</w:t>
      </w:r>
    </w:p>
    <w:p w14:paraId="09BFC063">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физкультурно-оздоровительных занятий, которые проводятся с детьми по графику, максимально на открытых площадках;</w:t>
      </w:r>
    </w:p>
    <w:p w14:paraId="5F1B06E8">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14:paraId="43A840A7">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различных видов гимнастик, утренней вариативной зарядки (спортивная, танцевальная, дыхательная, беговая, игровая);</w:t>
      </w:r>
    </w:p>
    <w:p w14:paraId="4A0DEC86">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динамических пауз в организации образовательной деятельности и режимных моментов;</w:t>
      </w:r>
    </w:p>
    <w:p w14:paraId="49EAB49A">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спортивно-массовых мероприятий, предполагающих спартакиады, спортивные соревнования, праздники, викторины, конкурсы;</w:t>
      </w:r>
    </w:p>
    <w:p w14:paraId="5843A986">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w:t>
      </w:r>
    </w:p>
    <w:p w14:paraId="47B76BC0">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Спортивно-оздоровительная работа строится во взаимодействии с медицинским персоналом с учетом возраста детей и показателей здоровья.</w:t>
      </w:r>
    </w:p>
    <w:p w14:paraId="3A0632D7">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16.2. Модуль "Культура России".</w:t>
      </w:r>
    </w:p>
    <w:p w14:paraId="64AD6040">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4F2F86A1">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0BEBD3FA">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14:paraId="22CFB91F">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16.3. Модуль "Психолого-педагогическое сопровождение".</w:t>
      </w:r>
    </w:p>
    <w:p w14:paraId="577D6B3B">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педагогов-психологов.</w:t>
      </w:r>
    </w:p>
    <w:p w14:paraId="77251CF5">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14:paraId="4D30814C">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16.4. Модуль "Детское самоуправление".</w:t>
      </w:r>
    </w:p>
    <w:p w14:paraId="2AA23843">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16.4.1. 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1E7C5012">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16.4.2. 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47BEB7AC">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16.4.3. 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14:paraId="580022A0">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16.4.4.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2E20DFDF">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Система проявлений активной жизненной позиции и поощрения социальной успешности детей строится на принципах:</w:t>
      </w:r>
    </w:p>
    <w:p w14:paraId="3AA469B8">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6D8D2002">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4C470CDE">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прозрачности правил поощрения (наличие положения о награждениях, соблюдение справедливости при выдвижении кандидатур);</w:t>
      </w:r>
    </w:p>
    <w:p w14:paraId="225054B3">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регулирования частоты награждений (недопущение избыточности в поощрениях, чрезмерно больших групп поощряемых);</w:t>
      </w:r>
    </w:p>
    <w:p w14:paraId="4602FC5C">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190A097D">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дифференцированности поощрений (наличие уровней и типов наград позволяет продлить стимулирующее действие системы поощрения).</w:t>
      </w:r>
    </w:p>
    <w:p w14:paraId="5BEE72FE">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14:paraId="38579E58">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5A0A2004">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16.5. Модуль "Инклюзивное пространство".</w:t>
      </w:r>
    </w:p>
    <w:p w14:paraId="4B308454">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14:paraId="331ED0FF">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При организации инклюзивного пространства создаются особые условия:</w:t>
      </w:r>
    </w:p>
    <w:p w14:paraId="1F80C469">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организационное обеспечение (нормативно-правовая база);</w:t>
      </w:r>
    </w:p>
    <w:p w14:paraId="591B71F4">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материально-техническое обеспечение, включая архитектурную доступность;</w:t>
      </w:r>
    </w:p>
    <w:p w14:paraId="1F18C0D6">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14:paraId="3AA55DD5">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программно-методическое обеспечение (реализация адаптированных образовательных программ, программ коррекционной работы).</w:t>
      </w:r>
    </w:p>
    <w:p w14:paraId="3E594C40">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6E434EFA">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При организации воспитания детей с ОВЗ, инвалидностью следует ориентироваться на:</w:t>
      </w:r>
    </w:p>
    <w:p w14:paraId="0B19EB47">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6FDF3BC2">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14:paraId="63751EC9">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личностно-ориентированный подход в организации всех видов деятельности обучающихся с особыми образовательными потребностями.</w:t>
      </w:r>
    </w:p>
    <w:p w14:paraId="0DB194B8">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74D47421">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16.6. Модуль "Профориентация".</w:t>
      </w:r>
    </w:p>
    <w:p w14:paraId="0043648E">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14:paraId="0B74960D">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358FD7BB">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130CB77D">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14:paraId="7812A227">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участие в работе всероссийских профориентационных проектов: просмотр лекций, решение учебно-тренировочных задач, участие в мастер-классах.</w:t>
      </w:r>
    </w:p>
    <w:p w14:paraId="5B4644D2">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16.7. Модуль "Коллективная социально значимая деятельность в Движении Первых".</w:t>
      </w:r>
    </w:p>
    <w:p w14:paraId="0C9581AC">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p>
    <w:p w14:paraId="3695B175">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w:t>
      </w:r>
    </w:p>
    <w:p w14:paraId="4E5A453F">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14:paraId="0CB54DEA">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14:paraId="2FC9B991">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Воспитательный потенциал данного модуля реализуется в рамках следующих возможных мероприятий и форм воспитательной работы:</w:t>
      </w:r>
    </w:p>
    <w:p w14:paraId="35C24C9E">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w:t>
      </w:r>
    </w:p>
    <w:p w14:paraId="4B758228">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волонтерские мастер-классы - проведение занятий и встреч для знакомства детей с принципами, направлениями волонтерства и его историей;</w:t>
      </w:r>
    </w:p>
    <w:p w14:paraId="6735EE41">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14:paraId="2DC78FF1">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14:paraId="45CD836C">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14:paraId="4B1D48FA">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акции по защите животных - сбор корма для приютов, изготовление кормушек для птиц и так далее, что развивает чувство ответственности и доброты;</w:t>
      </w:r>
    </w:p>
    <w:p w14:paraId="34003946">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7FBF6687">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14:paraId="595CE528">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коммуникациии медиа-творчества;</w:t>
      </w:r>
    </w:p>
    <w:p w14:paraId="5C9721ED">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проектировочный семинар о траектории социального развития в Движении Первых.</w:t>
      </w:r>
    </w:p>
    <w:p w14:paraId="72E51E89">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 ход дел).</w:t>
      </w:r>
    </w:p>
    <w:p w14:paraId="74171336">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17. Вариативные содержательные модули.</w:t>
      </w:r>
    </w:p>
    <w:p w14:paraId="3606B18F">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17.1. Модуль "Экскурсии и походы".</w:t>
      </w:r>
    </w:p>
    <w:p w14:paraId="1FAFA014">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w:t>
      </w:r>
    </w:p>
    <w:p w14:paraId="5E9FF54E">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14:paraId="3DFDF2EE">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В зависимости от возраста детей выбирается тематика, форма, продолжительность, оценка результативности экскурсии и похода.</w:t>
      </w:r>
    </w:p>
    <w:p w14:paraId="3B536D27">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w:t>
      </w:r>
    </w:p>
    <w:p w14:paraId="6DE707A3">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17.2. Модуль "Кружки и секции".</w:t>
      </w:r>
    </w:p>
    <w:p w14:paraId="746C6C5E">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14:paraId="3841A546">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14:paraId="5FA936DB">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17.3. Модуль "Цифровая и медиа-среда".</w:t>
      </w:r>
    </w:p>
    <w:p w14:paraId="5C06539E">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Цифровая среда воспитания предполагает ряд следующих мероприятий:</w:t>
      </w:r>
    </w:p>
    <w:p w14:paraId="10C42551">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телемосты, онлайн-встречи, видеоконференции;</w:t>
      </w:r>
    </w:p>
    <w:p w14:paraId="07509708">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14:paraId="33C9BDC6">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онлайн-мероприятия в официальных группах организации в социальных сетях;</w:t>
      </w:r>
    </w:p>
    <w:p w14:paraId="717A101B">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14:paraId="55602105">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Воспитательный потенциал медиапространства реализуется в рамках следующих видов и форм воспитательной работы:</w:t>
      </w:r>
    </w:p>
    <w:p w14:paraId="19FC1834">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организации отдыха детей и их оздоровления;</w:t>
      </w:r>
    </w:p>
    <w:p w14:paraId="67AED0A0">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w:t>
      </w:r>
    </w:p>
    <w:p w14:paraId="43CE6AB4">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14:paraId="037E0BBD">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участие детей в региональных или всероссийских конкурсах с детскими творческими медиа продуктами.</w:t>
      </w:r>
    </w:p>
    <w:p w14:paraId="377A8A80">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2FE3799F">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17.4. Модуль "Проектная деятельность".</w:t>
      </w:r>
    </w:p>
    <w:p w14:paraId="2559D3E9">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w:t>
      </w:r>
    </w:p>
    <w:p w14:paraId="0F29DBB3">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55352FF2">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14:paraId="07CF4A7A">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17.5. Модуль "Детская дипломатия и международные отношения".</w:t>
      </w:r>
    </w:p>
    <w:p w14:paraId="40D90076">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14:paraId="774C275F">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14:paraId="7EA686EA">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18. 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14:paraId="02A7CEE3">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Уровни реализации содержания включают в себя:</w:t>
      </w:r>
    </w:p>
    <w:p w14:paraId="746EFF25">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18.1. Общелагерный уровень, который определяет установки содержания и демонстрацию ценностного отношения по каждому из смысловых блоков: </w:t>
      </w:r>
      <w:r>
        <w:fldChar w:fldCharType="begin"/>
      </w:r>
      <w:r>
        <w:instrText xml:space="preserve"> HYPERLINK "https://www.garant.ru/products/ipo/prime/doc/411676839/" \l "1013" </w:instrText>
      </w:r>
      <w:r>
        <w:fldChar w:fldCharType="separate"/>
      </w:r>
      <w:r>
        <w:rPr>
          <w:rFonts w:ascii="Times New Roman" w:hAnsi="Times New Roman" w:eastAsia="Times New Roman" w:cs="Times New Roman"/>
          <w:color w:val="808080"/>
          <w:sz w:val="23"/>
          <w:szCs w:val="23"/>
          <w:u w:val="single"/>
          <w:lang w:eastAsia="ru-RU"/>
        </w:rPr>
        <w:t>"Мир"</w:t>
      </w:r>
      <w:r>
        <w:rPr>
          <w:rFonts w:ascii="Times New Roman" w:hAnsi="Times New Roman" w:eastAsia="Times New Roman" w:cs="Times New Roman"/>
          <w:color w:val="808080"/>
          <w:sz w:val="23"/>
          <w:szCs w:val="23"/>
          <w:u w:val="single"/>
          <w:lang w:eastAsia="ru-RU"/>
        </w:rPr>
        <w:fldChar w:fldCharType="end"/>
      </w:r>
      <w:r>
        <w:rPr>
          <w:rFonts w:ascii="Times New Roman" w:hAnsi="Times New Roman" w:eastAsia="Times New Roman" w:cs="Times New Roman"/>
          <w:color w:val="333333"/>
          <w:sz w:val="23"/>
          <w:szCs w:val="23"/>
          <w:lang w:eastAsia="ru-RU"/>
        </w:rPr>
        <w:t>, </w:t>
      </w:r>
      <w:r>
        <w:fldChar w:fldCharType="begin"/>
      </w:r>
      <w:r>
        <w:instrText xml:space="preserve"> HYPERLINK "https://www.garant.ru/products/ipo/prime/doc/411676839/" \l "1014" </w:instrText>
      </w:r>
      <w:r>
        <w:fldChar w:fldCharType="separate"/>
      </w:r>
      <w:r>
        <w:rPr>
          <w:rFonts w:ascii="Times New Roman" w:hAnsi="Times New Roman" w:eastAsia="Times New Roman" w:cs="Times New Roman"/>
          <w:color w:val="808080"/>
          <w:sz w:val="23"/>
          <w:szCs w:val="23"/>
          <w:u w:val="single"/>
          <w:lang w:eastAsia="ru-RU"/>
        </w:rPr>
        <w:t>"Россия"</w:t>
      </w:r>
      <w:r>
        <w:rPr>
          <w:rFonts w:ascii="Times New Roman" w:hAnsi="Times New Roman" w:eastAsia="Times New Roman" w:cs="Times New Roman"/>
          <w:color w:val="808080"/>
          <w:sz w:val="23"/>
          <w:szCs w:val="23"/>
          <w:u w:val="single"/>
          <w:lang w:eastAsia="ru-RU"/>
        </w:rPr>
        <w:fldChar w:fldCharType="end"/>
      </w:r>
      <w:r>
        <w:rPr>
          <w:rFonts w:ascii="Times New Roman" w:hAnsi="Times New Roman" w:eastAsia="Times New Roman" w:cs="Times New Roman"/>
          <w:color w:val="333333"/>
          <w:sz w:val="23"/>
          <w:szCs w:val="23"/>
          <w:lang w:eastAsia="ru-RU"/>
        </w:rPr>
        <w:t> (включая региональный компонент), </w:t>
      </w:r>
      <w:r>
        <w:fldChar w:fldCharType="begin"/>
      </w:r>
      <w:r>
        <w:instrText xml:space="preserve"> HYPERLINK "https://www.garant.ru/products/ipo/prime/doc/411676839/" \l "1015" </w:instrText>
      </w:r>
      <w:r>
        <w:fldChar w:fldCharType="separate"/>
      </w:r>
      <w:r>
        <w:rPr>
          <w:rFonts w:ascii="Times New Roman" w:hAnsi="Times New Roman" w:eastAsia="Times New Roman" w:cs="Times New Roman"/>
          <w:color w:val="808080"/>
          <w:sz w:val="23"/>
          <w:szCs w:val="23"/>
          <w:u w:val="single"/>
          <w:lang w:eastAsia="ru-RU"/>
        </w:rPr>
        <w:t>"Человек"</w:t>
      </w:r>
      <w:r>
        <w:rPr>
          <w:rFonts w:ascii="Times New Roman" w:hAnsi="Times New Roman" w:eastAsia="Times New Roman" w:cs="Times New Roman"/>
          <w:color w:val="808080"/>
          <w:sz w:val="23"/>
          <w:szCs w:val="23"/>
          <w:u w:val="single"/>
          <w:lang w:eastAsia="ru-RU"/>
        </w:rPr>
        <w:fldChar w:fldCharType="end"/>
      </w:r>
      <w:r>
        <w:rPr>
          <w:rFonts w:ascii="Times New Roman" w:hAnsi="Times New Roman" w:eastAsia="Times New Roman" w:cs="Times New Roman"/>
          <w:color w:val="333333"/>
          <w:sz w:val="23"/>
          <w:szCs w:val="23"/>
          <w:lang w:eastAsia="ru-RU"/>
        </w:rPr>
        <w:t>.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14:paraId="1EBCFB95">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18.2. 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2DA53F78">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18.3. 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14:paraId="6CADD46E">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18.4. 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01E70F55">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планирование и проведение отрядной деятельности;</w:t>
      </w:r>
    </w:p>
    <w:p w14:paraId="31403AD6">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7DAAEFC1">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w:t>
      </w:r>
    </w:p>
    <w:p w14:paraId="29311AE2">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w:t>
      </w:r>
    </w:p>
    <w:p w14:paraId="234E708E">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14:paraId="4F85A152">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0D85376F">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диагностику интересов, склонностей, ценностных ориентации, выявление лидеров, референтных групп, непопулярных детей через наблюдение, игры, анкеты;</w:t>
      </w:r>
    </w:p>
    <w:p w14:paraId="3E42E8E5">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аналитическую работу с детьми: анализ дня, анализ ситуации, мероприятия, анализ смены, результатов;</w:t>
      </w:r>
    </w:p>
    <w:p w14:paraId="5884E372">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14:paraId="7AA0F2CD">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проведение сбора отряда: хозяйственный сбор, организационный сбор, утренний информационный сбор отряда и другие;</w:t>
      </w:r>
    </w:p>
    <w:p w14:paraId="6BC6DF9A">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4902C370">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067DBA16">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19. 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586F9CC0">
      <w:pPr>
        <w:shd w:val="clear" w:color="auto" w:fill="FFFFFF"/>
        <w:spacing w:after="255" w:line="270" w:lineRule="atLeast"/>
        <w:outlineLvl w:val="2"/>
        <w:rPr>
          <w:rFonts w:ascii="Times New Roman" w:hAnsi="Times New Roman" w:eastAsia="Times New Roman" w:cs="Times New Roman"/>
          <w:b/>
          <w:bCs/>
          <w:color w:val="333333"/>
          <w:sz w:val="26"/>
          <w:szCs w:val="26"/>
          <w:lang w:eastAsia="ru-RU"/>
        </w:rPr>
      </w:pPr>
      <w:r>
        <w:rPr>
          <w:rFonts w:ascii="Times New Roman" w:hAnsi="Times New Roman" w:eastAsia="Times New Roman" w:cs="Times New Roman"/>
          <w:b/>
          <w:bCs/>
          <w:color w:val="333333"/>
          <w:sz w:val="26"/>
          <w:szCs w:val="26"/>
          <w:lang w:eastAsia="ru-RU"/>
        </w:rPr>
        <w:t>IV. Организационный раздел</w:t>
      </w:r>
    </w:p>
    <w:p w14:paraId="3C3B4802">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20. 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53EBCB3F">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21. Детский оздоровительный лагерь с дневным пребыванием детей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0B316976">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22. Особенности программы воспитательной работы в лагерях палаточного типа обусловлены прежде всего организацией деятельности в природной среде. В таких организациях отдыха детей и их оздоровления уделяется внимание системе самоуправления и чередованию творческих поручений, а также в большинстве программ палаточных лагерей предполагается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квесты, экскурсии, тур-эстафеты.</w:t>
      </w:r>
    </w:p>
    <w:p w14:paraId="6D273B39">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23. Воспитательная работа и образовательная деятельность в детских специализированных (профильных) лагерях, детских лагерях различной тематической направленности предполагают углубленное изучение или продолжение дополнительного образования по той, или иной направленности. 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
    <w:p w14:paraId="0BFFCB93">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24. Детские лагеря труда и отдыха как правило организуются для детей с 14 лет и предполагают ежедневную работу в течение нескольких часов.</w:t>
      </w:r>
    </w:p>
    <w:p w14:paraId="53641DFB">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квизы и другие интеллектуальные конкурсы.</w:t>
      </w:r>
    </w:p>
    <w:p w14:paraId="4CE040E5">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25. Стационарные организации отдыха детей и их оздоровления с круглосуточным пребыванием детей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14:paraId="1D593A3B">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26. 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14:paraId="7DD5E25D">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27. 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(круглосуточность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1CFE3364">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28. Элементами уклада являются:</w:t>
      </w:r>
    </w:p>
    <w:p w14:paraId="2B1627F5">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28.1. 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14:paraId="4E351DE7">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28.2. 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r>
        <w:fldChar w:fldCharType="begin"/>
      </w:r>
      <w:r>
        <w:instrText xml:space="preserve"> HYPERLINK "https://www.garant.ru/products/ipo/prime/doc/411676839/" \l "333" </w:instrText>
      </w:r>
      <w:r>
        <w:fldChar w:fldCharType="separate"/>
      </w:r>
      <w:r>
        <w:rPr>
          <w:rFonts w:ascii="Times New Roman" w:hAnsi="Times New Roman" w:eastAsia="Times New Roman" w:cs="Times New Roman"/>
          <w:color w:val="808080"/>
          <w:sz w:val="20"/>
          <w:szCs w:val="20"/>
          <w:u w:val="single"/>
          <w:vertAlign w:val="superscript"/>
          <w:lang w:eastAsia="ru-RU"/>
        </w:rPr>
        <w:t>3</w:t>
      </w:r>
      <w:r>
        <w:rPr>
          <w:rFonts w:ascii="Times New Roman" w:hAnsi="Times New Roman" w:eastAsia="Times New Roman" w:cs="Times New Roman"/>
          <w:color w:val="808080"/>
          <w:sz w:val="20"/>
          <w:szCs w:val="20"/>
          <w:u w:val="single"/>
          <w:vertAlign w:val="superscript"/>
          <w:lang w:eastAsia="ru-RU"/>
        </w:rPr>
        <w:fldChar w:fldCharType="end"/>
      </w:r>
      <w:r>
        <w:rPr>
          <w:rFonts w:ascii="Times New Roman" w:hAnsi="Times New Roman" w:eastAsia="Times New Roman" w:cs="Times New Roman"/>
          <w:color w:val="333333"/>
          <w:sz w:val="23"/>
          <w:szCs w:val="23"/>
          <w:lang w:eastAsia="ru-RU"/>
        </w:rPr>
        <w:t>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14:paraId="59FF5310">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28.3.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14:paraId="419E1C7A">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28.4. Символическое пространство организации отдыха детей и их оздоровления включает в себя традиции, правила, легенды, кричалки, песенному 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14:paraId="35E7BB7D">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Ритуалы могут быть:</w:t>
      </w:r>
    </w:p>
    <w:p w14:paraId="5EE57559">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14:paraId="081ABAEE">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14:paraId="4A4EEE22">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29. Реализация Программы включает в себя:</w:t>
      </w:r>
    </w:p>
    <w:p w14:paraId="0F6D0380">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29.1. 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14:paraId="11F6E034">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29.2. 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729CFA12">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29.3. 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1328DC31">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29.4. 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14:paraId="3FB3EDF5">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29.5.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14:paraId="6871B99B">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29.6.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14:paraId="7E8EB574">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14:paraId="1F28C7B6">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Планирование анализа воспитательной работы включается в календарный план воспитательной работы.</w:t>
      </w:r>
    </w:p>
    <w:p w14:paraId="2F4234AC">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14:paraId="0C26064A">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14:paraId="03F2006B">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14:paraId="22B60038">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14:paraId="74CED514">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2DD11832">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30. 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12AA64CF">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14:paraId="5DEB8448">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14:paraId="41DAA25C">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14:paraId="3530A3F3">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проведение на базе организаций-партнеров отдельных занятий, тематических событий, отдельных мероприятий и акций;</w:t>
      </w:r>
    </w:p>
    <w:p w14:paraId="27881769">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совместная реализация тематических и профильных смены;</w:t>
      </w:r>
    </w:p>
    <w:p w14:paraId="1C1695C2">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1C1FB684">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6C996D29">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31. 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14:paraId="16F5C24C">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14:paraId="6C473226">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14:paraId="75F5BAB9">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14:paraId="424D2F6C">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общелагерного уровня;</w:t>
      </w:r>
    </w:p>
    <w:p w14:paraId="7EC0FD03">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14:paraId="7AF35095">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14:paraId="0B166AAF">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14:paraId="6CEEC8C0">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32. 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 систему наставничества и преемственности в трудовом коллектив организации отдыха детей и их оздоровления.</w:t>
      </w:r>
    </w:p>
    <w:p w14:paraId="5E832C40">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33. 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14:paraId="16895B75">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473FFD51">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14:paraId="5690C301">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14:paraId="61F5A5A4">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34. 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14:paraId="6D6361FA">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14:paraId="15D20C89">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музыкальное оборудование и необходимые для качественного музыкального оформления фонограммы, записи (при наличии);</w:t>
      </w:r>
    </w:p>
    <w:p w14:paraId="1505DC61">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оборудованные локации для общелагерных и отрядных событий, отрядные места, отрядные уголки (стенды);</w:t>
      </w:r>
    </w:p>
    <w:p w14:paraId="4576BBEB">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спортивные площадки и спортивный инвентарь;</w:t>
      </w:r>
    </w:p>
    <w:p w14:paraId="293F817D">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канцелярские принадлежности в необходимом количестве для качественного оформления программных событий;</w:t>
      </w:r>
    </w:p>
    <w:p w14:paraId="5DC1F420">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14:paraId="6A508DFB">
      <w:pPr>
        <w:shd w:val="clear" w:color="auto" w:fill="FFFFFF"/>
        <w:spacing w:after="255" w:line="270" w:lineRule="atLeast"/>
        <w:rPr>
          <w:rFonts w:ascii="Times New Roman" w:hAnsi="Times New Roman" w:eastAsia="Times New Roman" w:cs="Times New Roman"/>
          <w:color w:val="333333"/>
          <w:sz w:val="23"/>
          <w:szCs w:val="23"/>
          <w:lang w:eastAsia="ru-RU"/>
        </w:rPr>
      </w:pPr>
      <w:r>
        <w:rPr>
          <w:rFonts w:ascii="Times New Roman" w:hAnsi="Times New Roman" w:eastAsia="Times New Roman" w:cs="Times New Roman"/>
          <w:color w:val="333333"/>
          <w:sz w:val="23"/>
          <w:szCs w:val="23"/>
          <w:lang w:eastAsia="ru-RU"/>
        </w:rPr>
        <w:t>специальное оборудование, которое необходимо для обеспечения инклюзивного пространства.</w:t>
      </w:r>
    </w:p>
    <w:p w14:paraId="72E99037">
      <w:pPr>
        <w:rPr>
          <w:rFonts w:ascii="Times New Roman" w:hAnsi="Times New Roman" w:cs="Times New Roman"/>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5E6"/>
    <w:rsid w:val="00497331"/>
    <w:rsid w:val="007655E6"/>
    <w:rsid w:val="00E61EC1"/>
    <w:rsid w:val="2A8C55A6"/>
    <w:rsid w:val="35DA40C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9828</Words>
  <Characters>56020</Characters>
  <Lines>466</Lines>
  <Paragraphs>131</Paragraphs>
  <TotalTime>3</TotalTime>
  <ScaleCrop>false</ScaleCrop>
  <LinksUpToDate>false</LinksUpToDate>
  <CharactersWithSpaces>65717</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2025-05-29T21:20:00Z</dcterms:created>
  <dc:creator>Пользователь Windows</dc:creator>
  <cp:lastModifiedBy>1</cp:lastModifiedBy>
  <cp:lastPrinted>2026-05-31T19:13:00Z</cp:lastPrinted>
  <dcterms:modified xsi:type="dcterms:W3CDTF">2026-05-31T20:03:18Z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6B11A621E0CD48648214B25C8A1DC367_12</vt:lpwstr>
  </property>
</Properties>
</file>